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6A68" w14:textId="77777777" w:rsidR="00D11C5C" w:rsidRDefault="00A27B15">
      <w:pPr>
        <w:pStyle w:val="Heading1"/>
        <w:spacing w:before="186"/>
      </w:pPr>
      <w:r>
        <w:t>L’honorable Chuck Schumer</w:t>
      </w:r>
    </w:p>
    <w:p w14:paraId="6BFBD452" w14:textId="77777777" w:rsidR="00D11C5C" w:rsidRDefault="00A27B15">
      <w:pPr>
        <w:pStyle w:val="BodyText"/>
        <w:spacing w:before="27"/>
        <w:ind w:left="113"/>
      </w:pPr>
      <w:r>
        <w:t>Leader de la majorité</w:t>
      </w:r>
    </w:p>
    <w:p w14:paraId="370D4500" w14:textId="77777777" w:rsidR="00D11C5C" w:rsidRDefault="00A27B15">
      <w:pPr>
        <w:pStyle w:val="BodyText"/>
        <w:spacing w:before="27" w:line="266" w:lineRule="auto"/>
        <w:ind w:left="113" w:right="4840"/>
      </w:pPr>
      <w:r>
        <w:t>Salle S-221 du Sénat des États-Unis, Le Capitol Washington, DC 20510</w:t>
      </w:r>
    </w:p>
    <w:p w14:paraId="131CEA8B" w14:textId="77777777" w:rsidR="00D11C5C" w:rsidRDefault="00D11C5C">
      <w:pPr>
        <w:pStyle w:val="BodyText"/>
        <w:spacing w:before="2"/>
        <w:rPr>
          <w:sz w:val="24"/>
        </w:rPr>
      </w:pPr>
    </w:p>
    <w:p w14:paraId="575E8C4B" w14:textId="77777777" w:rsidR="00D11C5C" w:rsidRDefault="00A27B15">
      <w:pPr>
        <w:pStyle w:val="Heading1"/>
      </w:pPr>
      <w:r>
        <w:t>L’honorable Nancy Pelosi</w:t>
      </w:r>
    </w:p>
    <w:p w14:paraId="6139031E" w14:textId="77777777" w:rsidR="00D11C5C" w:rsidRDefault="00A27B15">
      <w:pPr>
        <w:pStyle w:val="BodyText"/>
        <w:spacing w:before="27" w:line="266" w:lineRule="auto"/>
        <w:ind w:left="113" w:right="4840"/>
      </w:pPr>
      <w:r>
        <w:t>Présidente de la Chambre des représentants Washington, DC 20515</w:t>
      </w:r>
    </w:p>
    <w:p w14:paraId="633988FD" w14:textId="77777777" w:rsidR="00D11C5C" w:rsidRDefault="00D11C5C">
      <w:pPr>
        <w:pStyle w:val="BodyText"/>
        <w:spacing w:before="3"/>
        <w:rPr>
          <w:sz w:val="24"/>
        </w:rPr>
      </w:pPr>
    </w:p>
    <w:p w14:paraId="31492BC0" w14:textId="77777777" w:rsidR="00D11C5C" w:rsidRDefault="00A27B15">
      <w:pPr>
        <w:pStyle w:val="BodyText"/>
        <w:ind w:left="113"/>
      </w:pPr>
      <w:r>
        <w:t>Madame la Présidente de la Chambre des représentants Pelosi et Monsieur le Leader de la majorité Schumer,</w:t>
      </w:r>
    </w:p>
    <w:p w14:paraId="5F20366C" w14:textId="77777777" w:rsidR="00D11C5C" w:rsidRDefault="00D11C5C">
      <w:pPr>
        <w:pStyle w:val="BodyText"/>
        <w:spacing w:before="8"/>
        <w:rPr>
          <w:sz w:val="26"/>
        </w:rPr>
      </w:pPr>
    </w:p>
    <w:p w14:paraId="71D4A69F" w14:textId="6A6A3AE5" w:rsidR="00D11C5C" w:rsidRDefault="00A27B15">
      <w:pPr>
        <w:pStyle w:val="BodyText"/>
        <w:spacing w:line="266" w:lineRule="auto"/>
        <w:ind w:left="113" w:right="193"/>
      </w:pPr>
      <w:r>
        <w:t>Nous sommes des ## organisations de défense des droits humains, féministes et de femmes et ## militants du monde entier qui vous exhortent à donner la priorité à la fin permanente, par tous les moyens législatifs disponibles, de la politique de Mexico, également connue sous le nom de la r</w:t>
      </w:r>
      <w:r w:rsidR="00CC168B">
        <w:t>è</w:t>
      </w:r>
      <w:r>
        <w:t>gle du bâillon mondial (</w:t>
      </w:r>
      <w:r w:rsidR="00EA65EB">
        <w:t xml:space="preserve">Global Gag Rule ou </w:t>
      </w:r>
      <w:r>
        <w:t>GGR).</w:t>
      </w:r>
    </w:p>
    <w:p w14:paraId="0609165B" w14:textId="77777777" w:rsidR="00D11C5C" w:rsidRDefault="00D11C5C">
      <w:pPr>
        <w:pStyle w:val="BodyText"/>
        <w:spacing w:before="1"/>
        <w:rPr>
          <w:sz w:val="24"/>
        </w:rPr>
      </w:pPr>
    </w:p>
    <w:p w14:paraId="25AB4673" w14:textId="4A11B973" w:rsidR="00D11C5C" w:rsidRDefault="00A27B15">
      <w:pPr>
        <w:pStyle w:val="BodyText"/>
        <w:spacing w:line="266" w:lineRule="auto"/>
        <w:ind w:left="113"/>
      </w:pPr>
      <w:r>
        <w:t>Nous sommes heureux que le président Biden, comme d’autres présidents démocrates avant lui, ait annulé la règle du bâillon mondial, mais il ne s’agit là que d’une solution à court terme aux méfaits immenses que cette politique cruelle inflige aux femmes, aux filles et aux personnes de genres divers des communautés marginalisées du monde entier.</w:t>
      </w:r>
    </w:p>
    <w:p w14:paraId="36BA75C1" w14:textId="77777777" w:rsidR="00D11C5C" w:rsidRDefault="00D11C5C">
      <w:pPr>
        <w:pStyle w:val="BodyText"/>
        <w:spacing w:before="2"/>
        <w:rPr>
          <w:sz w:val="24"/>
        </w:rPr>
      </w:pPr>
    </w:p>
    <w:p w14:paraId="2A444DFF" w14:textId="29FCC039" w:rsidR="00D11C5C" w:rsidRDefault="00A27B15">
      <w:pPr>
        <w:pStyle w:val="BodyText"/>
        <w:spacing w:line="259" w:lineRule="auto"/>
        <w:ind w:left="113" w:right="111"/>
        <w:rPr>
          <w:sz w:val="16"/>
        </w:rPr>
      </w:pPr>
      <w:r>
        <w:t>La politique affecte la vie des personnes dans les pays à faible revenu qui reçoivent une assistance sanitaire mondiale de la part des États-Unis. Cela crée des perturbations dans les systèmes de santé nationaux, entrave l'accès aux services de santé et les dommages structurels ont entraîné davantage de grossesses non désirées et une augmentation des taux d'IST, du VIH et des avortements à risque. Malgré de fausses affirmations républicaines selon lesquelles la GGR empêche l'avortement, les taux d'avortement ont augmenté de 40</w:t>
      </w:r>
      <w:r w:rsidR="00EA65EB">
        <w:t> </w:t>
      </w:r>
      <w:r>
        <w:t>% et l'utilisation de la contraception moderne a chuté de 13,5</w:t>
      </w:r>
      <w:r w:rsidR="00EA65EB">
        <w:t> </w:t>
      </w:r>
      <w:r>
        <w:t>% dans les pays fortement touchés par la politique.</w:t>
      </w:r>
      <w:r w:rsidR="004A5028">
        <w:rPr>
          <w:rStyle w:val="FootnoteReference"/>
          <w:spacing w:val="-3"/>
        </w:rPr>
        <w:footnoteReference w:id="1"/>
      </w:r>
    </w:p>
    <w:p w14:paraId="19710429" w14:textId="77777777" w:rsidR="00D11C5C" w:rsidRDefault="00D11C5C">
      <w:pPr>
        <w:pStyle w:val="BodyText"/>
        <w:spacing w:before="2"/>
        <w:rPr>
          <w:sz w:val="25"/>
        </w:rPr>
      </w:pPr>
    </w:p>
    <w:p w14:paraId="1FB9482D" w14:textId="41FD6656" w:rsidR="00D11C5C" w:rsidRDefault="00A27B15">
      <w:pPr>
        <w:pStyle w:val="BodyText"/>
        <w:spacing w:before="1" w:line="259" w:lineRule="auto"/>
        <w:ind w:left="113" w:right="193"/>
        <w:rPr>
          <w:sz w:val="16"/>
        </w:rPr>
      </w:pPr>
      <w:r>
        <w:t>En outre, en interdisant aux organisations non gouvernementales étrangères recevant une aide au développement de la part des États-Unis d'utiliser leurs propres fonds pour s'engager dans des activités pro-avortement telles que des conseils sur l'avortement en option ou en faisant campagne pour des lois libéralisées sur l'avortement, la GGR transforme le financement américain de la santé mondiale en un instrument antidémocratique qui entrave la participation de la société civile et mine les engagements des États-Unis en faveur de la promotion de la liberté d'expression et des institutions démocratiques.</w:t>
      </w:r>
      <w:r w:rsidR="004A5028">
        <w:rPr>
          <w:rStyle w:val="FootnoteReference"/>
        </w:rPr>
        <w:footnoteReference w:id="2"/>
      </w:r>
    </w:p>
    <w:p w14:paraId="2212B16E" w14:textId="77777777" w:rsidR="00D11C5C" w:rsidRDefault="00D11C5C">
      <w:pPr>
        <w:pStyle w:val="BodyText"/>
        <w:spacing w:before="2"/>
        <w:rPr>
          <w:sz w:val="25"/>
        </w:rPr>
      </w:pPr>
    </w:p>
    <w:p w14:paraId="422D7C96" w14:textId="37B1D1DA" w:rsidR="00D11C5C" w:rsidRDefault="00A27B15">
      <w:pPr>
        <w:pStyle w:val="BodyText"/>
        <w:spacing w:line="264" w:lineRule="auto"/>
        <w:ind w:left="113" w:right="156"/>
      </w:pPr>
      <w:r>
        <w:t xml:space="preserve">Chaque fois que la GGR est promulguée, les programmes de santé mondiaux américains contreviennent aux normes internationales relatives aux droits humains. La Déclaration universelle des droits humains de 1948 consacre le droit à la vie et le droit à la santé, et les nombreux traités internationaux et autres instruments juridiques qui ont suivi soutiennent le droit des femmes aux soins de santé, y compris l’accès à l’avortement sécurisé. En 2015, le monde a adopté les objectifs de développement durable, y compris l'égalité des sexes et l'autonomisation de toutes les femmes et </w:t>
      </w:r>
      <w:r>
        <w:lastRenderedPageBreak/>
        <w:t>filles, des personnes de genres divers qui incluent un objectif visant à atteindre l'accès universel à la santé et aux droits sexuels et reproductifs (SDSR).</w:t>
      </w:r>
      <w:r w:rsidR="004A5028">
        <w:rPr>
          <w:rStyle w:val="FootnoteReference"/>
          <w:spacing w:val="-3"/>
        </w:rPr>
        <w:footnoteReference w:id="3"/>
      </w:r>
      <w:r>
        <w:t xml:space="preserve"> La GGR viole l’engagement du gouvernement américain de défendre la SDSR en refusant aux femmes la gamme complète des options de santé reproductive et en altérant considérablement leur contrôle sur leur vie reproductive.</w:t>
      </w:r>
    </w:p>
    <w:p w14:paraId="4486C498" w14:textId="77777777" w:rsidR="00D11C5C" w:rsidRDefault="00D11C5C">
      <w:pPr>
        <w:pStyle w:val="BodyText"/>
        <w:rPr>
          <w:sz w:val="20"/>
        </w:rPr>
      </w:pPr>
    </w:p>
    <w:p w14:paraId="53B77822" w14:textId="2B7C33ED" w:rsidR="00D11C5C" w:rsidRDefault="00A27B15" w:rsidP="00E50221">
      <w:pPr>
        <w:pStyle w:val="BodyText"/>
        <w:spacing w:before="87" w:line="266" w:lineRule="auto"/>
        <w:ind w:left="90" w:right="308"/>
      </w:pPr>
      <w:r>
        <w:t>La fin permanente de la règle du bâillon mondial renforcerait les engagements ambitieux de longue date des États-Unis en faveur de la santé mondiale, de la démocratie et de la promotion des droits humains, et constituerait un pas important vers le rétablissement des États-Unis en tant que chef de file de la santé mondiale, en respectant les normes des droits humains.</w:t>
      </w:r>
    </w:p>
    <w:p w14:paraId="40888F10" w14:textId="77777777" w:rsidR="00D11C5C" w:rsidRDefault="00D11C5C">
      <w:pPr>
        <w:pStyle w:val="BodyText"/>
        <w:spacing w:before="2"/>
        <w:rPr>
          <w:sz w:val="24"/>
        </w:rPr>
      </w:pPr>
    </w:p>
    <w:p w14:paraId="51E52311" w14:textId="240D0CC3" w:rsidR="00D11C5C" w:rsidRDefault="00A27B15">
      <w:pPr>
        <w:pStyle w:val="BodyText"/>
        <w:spacing w:line="266" w:lineRule="auto"/>
        <w:ind w:left="113" w:right="297"/>
      </w:pPr>
      <w:r>
        <w:t>Nous vous exhortons à prendre des mesures législatives pour mettre définitivement fin à la règle du bâillon mondial. Nous attendons de votre leadership la garantie que cette politique désastreuse et meurtrière ne soit plus jamais exportée vers d’autres pays pour restreindre la santé et les droits sexuels et reproductifs des femmes, des filles</w:t>
      </w:r>
      <w:r w:rsidR="00E50221">
        <w:t xml:space="preserve"> et</w:t>
      </w:r>
      <w:r>
        <w:t xml:space="preserve"> des personnes de genres divers.</w:t>
      </w:r>
    </w:p>
    <w:p w14:paraId="5E7F1D3D" w14:textId="77777777" w:rsidR="00D11C5C" w:rsidRDefault="00D11C5C">
      <w:pPr>
        <w:pStyle w:val="BodyText"/>
        <w:spacing w:before="1"/>
        <w:rPr>
          <w:sz w:val="24"/>
        </w:rPr>
      </w:pPr>
    </w:p>
    <w:p w14:paraId="4D9193BD" w14:textId="77777777" w:rsidR="00D11C5C" w:rsidRDefault="00A27B15">
      <w:pPr>
        <w:pStyle w:val="BodyText"/>
        <w:ind w:left="113"/>
      </w:pPr>
      <w:r>
        <w:t>Signé,</w:t>
      </w:r>
    </w:p>
    <w:sectPr w:rsidR="00D11C5C" w:rsidSect="00A52719">
      <w:pgSz w:w="12240" w:h="15840"/>
      <w:pgMar w:top="1060" w:right="1040" w:bottom="156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85BF" w14:textId="77777777" w:rsidR="00F37C03" w:rsidRDefault="00F37C03" w:rsidP="004A5028">
      <w:r>
        <w:separator/>
      </w:r>
    </w:p>
  </w:endnote>
  <w:endnote w:type="continuationSeparator" w:id="0">
    <w:p w14:paraId="31D0E09B" w14:textId="77777777" w:rsidR="00F37C03" w:rsidRDefault="00F37C03" w:rsidP="004A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3D35" w14:textId="77777777" w:rsidR="00F37C03" w:rsidRDefault="00F37C03" w:rsidP="004A5028">
      <w:r>
        <w:separator/>
      </w:r>
    </w:p>
  </w:footnote>
  <w:footnote w:type="continuationSeparator" w:id="0">
    <w:p w14:paraId="4E238AC5" w14:textId="77777777" w:rsidR="00F37C03" w:rsidRDefault="00F37C03" w:rsidP="004A5028">
      <w:r>
        <w:continuationSeparator/>
      </w:r>
    </w:p>
  </w:footnote>
  <w:footnote w:id="1">
    <w:p w14:paraId="05C8540B" w14:textId="36DA8A1E" w:rsidR="004A5028" w:rsidRPr="00CC168B" w:rsidRDefault="004A5028">
      <w:pPr>
        <w:pStyle w:val="FootnoteText"/>
        <w:rPr>
          <w:lang w:val="en-US"/>
        </w:rPr>
      </w:pPr>
      <w:r>
        <w:rPr>
          <w:rStyle w:val="FootnoteReference"/>
        </w:rPr>
        <w:footnoteRef/>
      </w:r>
      <w:r w:rsidRPr="00CC168B">
        <w:rPr>
          <w:lang w:val="en-US"/>
        </w:rPr>
        <w:t xml:space="preserve"> </w:t>
      </w:r>
      <w:hyperlink r:id="rId1" w:history="1">
        <w:r w:rsidRPr="00CC168B">
          <w:rPr>
            <w:rStyle w:val="Hyperlink"/>
            <w:lang w:val="en-US"/>
          </w:rPr>
          <w:t>https://www.thelancet.com/journals/langlo/article/PI- IS2214-109X(19)30267-0/fulltext</w:t>
        </w:r>
      </w:hyperlink>
      <w:r w:rsidRPr="00CC168B">
        <w:rPr>
          <w:lang w:val="en-US"/>
        </w:rPr>
        <w:t xml:space="preserve"> </w:t>
      </w:r>
    </w:p>
  </w:footnote>
  <w:footnote w:id="2">
    <w:p w14:paraId="314BD13A" w14:textId="026E18C4" w:rsidR="004A5028" w:rsidRPr="004A5028" w:rsidRDefault="004A5028">
      <w:pPr>
        <w:pStyle w:val="FootnoteText"/>
      </w:pPr>
      <w:r>
        <w:rPr>
          <w:rStyle w:val="FootnoteReference"/>
        </w:rPr>
        <w:footnoteRef/>
      </w:r>
      <w:r>
        <w:t xml:space="preserve"> </w:t>
      </w:r>
      <w:hyperlink r:id="rId2" w:history="1">
        <w:r>
          <w:rPr>
            <w:rStyle w:val="Hyperlink"/>
          </w:rPr>
          <w:t>https://fas.org/sgp/crs/row/R44858.pdf</w:t>
        </w:r>
      </w:hyperlink>
      <w:r>
        <w:t xml:space="preserve"> page 1</w:t>
      </w:r>
    </w:p>
  </w:footnote>
  <w:footnote w:id="3">
    <w:p w14:paraId="3BCC59D5" w14:textId="32B75C31" w:rsidR="004A5028" w:rsidRPr="004A5028" w:rsidRDefault="004A5028" w:rsidP="004A5028">
      <w:pPr>
        <w:pStyle w:val="FootnoteText"/>
      </w:pPr>
      <w:r>
        <w:rPr>
          <w:rStyle w:val="FootnoteReference"/>
        </w:rPr>
        <w:footnoteRef/>
      </w:r>
      <w:r>
        <w:t xml:space="preserve"> </w:t>
      </w:r>
      <w:hyperlink r:id="rId3" w:history="1">
        <w:r>
          <w:rPr>
            <w:rStyle w:val="Hyperlink"/>
          </w:rPr>
          <w:t>https://srhrforall.org/download/prescribing-chaos-in-globalhealth-the-global-gag-rule-from-1984-2018/?wpdmdl=1064&amp;refresh=60708c7d06aa41617988733</w:t>
        </w:r>
      </w:hyperlink>
      <w:r>
        <w:t xml:space="preserve"> page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63FA8"/>
    <w:multiLevelType w:val="hybridMultilevel"/>
    <w:tmpl w:val="C100C0A8"/>
    <w:lvl w:ilvl="0" w:tplc="8F7ADE38">
      <w:start w:val="1"/>
      <w:numFmt w:val="decimal"/>
      <w:lvlText w:val="%1"/>
      <w:lvlJc w:val="left"/>
      <w:pPr>
        <w:ind w:left="111" w:hanging="134"/>
        <w:jc w:val="left"/>
      </w:pPr>
      <w:rPr>
        <w:rFonts w:ascii="Arial" w:eastAsia="Arial" w:hAnsi="Arial" w:cs="Arial" w:hint="default"/>
        <w:w w:val="99"/>
        <w:position w:val="4"/>
        <w:sz w:val="16"/>
        <w:szCs w:val="16"/>
        <w:lang w:val="en-US" w:eastAsia="en-US" w:bidi="ar-SA"/>
      </w:rPr>
    </w:lvl>
    <w:lvl w:ilvl="1" w:tplc="91F035E0">
      <w:numFmt w:val="bullet"/>
      <w:lvlText w:val="•"/>
      <w:lvlJc w:val="left"/>
      <w:pPr>
        <w:ind w:left="513" w:hanging="134"/>
      </w:pPr>
      <w:rPr>
        <w:rFonts w:hint="default"/>
        <w:lang w:val="en-US" w:eastAsia="en-US" w:bidi="ar-SA"/>
      </w:rPr>
    </w:lvl>
    <w:lvl w:ilvl="2" w:tplc="2AAC51CE">
      <w:numFmt w:val="bullet"/>
      <w:lvlText w:val="•"/>
      <w:lvlJc w:val="left"/>
      <w:pPr>
        <w:ind w:left="907" w:hanging="134"/>
      </w:pPr>
      <w:rPr>
        <w:rFonts w:hint="default"/>
        <w:lang w:val="en-US" w:eastAsia="en-US" w:bidi="ar-SA"/>
      </w:rPr>
    </w:lvl>
    <w:lvl w:ilvl="3" w:tplc="9EA0E464">
      <w:numFmt w:val="bullet"/>
      <w:lvlText w:val="•"/>
      <w:lvlJc w:val="left"/>
      <w:pPr>
        <w:ind w:left="1301" w:hanging="134"/>
      </w:pPr>
      <w:rPr>
        <w:rFonts w:hint="default"/>
        <w:lang w:val="en-US" w:eastAsia="en-US" w:bidi="ar-SA"/>
      </w:rPr>
    </w:lvl>
    <w:lvl w:ilvl="4" w:tplc="83107DCA">
      <w:numFmt w:val="bullet"/>
      <w:lvlText w:val="•"/>
      <w:lvlJc w:val="left"/>
      <w:pPr>
        <w:ind w:left="1695" w:hanging="134"/>
      </w:pPr>
      <w:rPr>
        <w:rFonts w:hint="default"/>
        <w:lang w:val="en-US" w:eastAsia="en-US" w:bidi="ar-SA"/>
      </w:rPr>
    </w:lvl>
    <w:lvl w:ilvl="5" w:tplc="0ADCE7D6">
      <w:numFmt w:val="bullet"/>
      <w:lvlText w:val="•"/>
      <w:lvlJc w:val="left"/>
      <w:pPr>
        <w:ind w:left="2089" w:hanging="134"/>
      </w:pPr>
      <w:rPr>
        <w:rFonts w:hint="default"/>
        <w:lang w:val="en-US" w:eastAsia="en-US" w:bidi="ar-SA"/>
      </w:rPr>
    </w:lvl>
    <w:lvl w:ilvl="6" w:tplc="883CF0E8">
      <w:numFmt w:val="bullet"/>
      <w:lvlText w:val="•"/>
      <w:lvlJc w:val="left"/>
      <w:pPr>
        <w:ind w:left="2483" w:hanging="134"/>
      </w:pPr>
      <w:rPr>
        <w:rFonts w:hint="default"/>
        <w:lang w:val="en-US" w:eastAsia="en-US" w:bidi="ar-SA"/>
      </w:rPr>
    </w:lvl>
    <w:lvl w:ilvl="7" w:tplc="995C0C4C">
      <w:numFmt w:val="bullet"/>
      <w:lvlText w:val="•"/>
      <w:lvlJc w:val="left"/>
      <w:pPr>
        <w:ind w:left="2877" w:hanging="134"/>
      </w:pPr>
      <w:rPr>
        <w:rFonts w:hint="default"/>
        <w:lang w:val="en-US" w:eastAsia="en-US" w:bidi="ar-SA"/>
      </w:rPr>
    </w:lvl>
    <w:lvl w:ilvl="8" w:tplc="3198F318">
      <w:numFmt w:val="bullet"/>
      <w:lvlText w:val="•"/>
      <w:lvlJc w:val="left"/>
      <w:pPr>
        <w:ind w:left="3271" w:hanging="13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5C"/>
    <w:rsid w:val="004A5028"/>
    <w:rsid w:val="007F3398"/>
    <w:rsid w:val="00970507"/>
    <w:rsid w:val="00A27B15"/>
    <w:rsid w:val="00A471E7"/>
    <w:rsid w:val="00A52719"/>
    <w:rsid w:val="00CC168B"/>
    <w:rsid w:val="00D073B3"/>
    <w:rsid w:val="00D11C5C"/>
    <w:rsid w:val="00E50221"/>
    <w:rsid w:val="00EA65EB"/>
    <w:rsid w:val="00F37C0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2113"/>
  <w15:docId w15:val="{3A39507D-BAC8-4F6B-A8AD-84AF132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spacing w:before="110"/>
      <w:ind w:left="111"/>
    </w:pPr>
    <w:rPr>
      <w:u w:val="single" w:color="000000"/>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4A5028"/>
    <w:rPr>
      <w:sz w:val="20"/>
      <w:szCs w:val="20"/>
    </w:rPr>
  </w:style>
  <w:style w:type="character" w:customStyle="1" w:styleId="FootnoteTextChar">
    <w:name w:val="Footnote Text Char"/>
    <w:basedOn w:val="DefaultParagraphFont"/>
    <w:link w:val="FootnoteText"/>
    <w:uiPriority w:val="99"/>
    <w:semiHidden/>
    <w:rsid w:val="004A5028"/>
    <w:rPr>
      <w:rFonts w:ascii="Arial" w:eastAsia="Arial" w:hAnsi="Arial" w:cs="Arial"/>
      <w:sz w:val="20"/>
      <w:szCs w:val="20"/>
    </w:rPr>
  </w:style>
  <w:style w:type="character" w:styleId="FootnoteReference">
    <w:name w:val="footnote reference"/>
    <w:basedOn w:val="DefaultParagraphFont"/>
    <w:uiPriority w:val="99"/>
    <w:semiHidden/>
    <w:unhideWhenUsed/>
    <w:rsid w:val="004A5028"/>
    <w:rPr>
      <w:vertAlign w:val="superscript"/>
    </w:rPr>
  </w:style>
  <w:style w:type="character" w:styleId="Hyperlink">
    <w:name w:val="Hyperlink"/>
    <w:basedOn w:val="DefaultParagraphFont"/>
    <w:uiPriority w:val="99"/>
    <w:unhideWhenUsed/>
    <w:rsid w:val="004A5028"/>
    <w:rPr>
      <w:color w:val="0000FF" w:themeColor="hyperlink"/>
      <w:u w:val="single"/>
    </w:rPr>
  </w:style>
  <w:style w:type="character" w:styleId="UnresolvedMention">
    <w:name w:val="Unresolved Mention"/>
    <w:basedOn w:val="DefaultParagraphFont"/>
    <w:uiPriority w:val="99"/>
    <w:semiHidden/>
    <w:unhideWhenUsed/>
    <w:rsid w:val="004A5028"/>
    <w:rPr>
      <w:color w:val="605E5C"/>
      <w:shd w:val="clear" w:color="auto" w:fill="E1DFDD"/>
    </w:rPr>
  </w:style>
  <w:style w:type="paragraph" w:styleId="Header">
    <w:name w:val="header"/>
    <w:basedOn w:val="Normal"/>
    <w:link w:val="HeaderChar"/>
    <w:uiPriority w:val="99"/>
    <w:unhideWhenUsed/>
    <w:rsid w:val="00CC168B"/>
    <w:pPr>
      <w:tabs>
        <w:tab w:val="center" w:pos="4536"/>
        <w:tab w:val="right" w:pos="9072"/>
      </w:tabs>
    </w:pPr>
  </w:style>
  <w:style w:type="character" w:customStyle="1" w:styleId="HeaderChar">
    <w:name w:val="Header Char"/>
    <w:basedOn w:val="DefaultParagraphFont"/>
    <w:link w:val="Header"/>
    <w:uiPriority w:val="99"/>
    <w:rsid w:val="00CC168B"/>
    <w:rPr>
      <w:rFonts w:ascii="Arial" w:eastAsia="Arial" w:hAnsi="Arial" w:cs="Arial"/>
    </w:rPr>
  </w:style>
  <w:style w:type="paragraph" w:styleId="Footer">
    <w:name w:val="footer"/>
    <w:basedOn w:val="Normal"/>
    <w:link w:val="FooterChar"/>
    <w:uiPriority w:val="99"/>
    <w:unhideWhenUsed/>
    <w:rsid w:val="00CC168B"/>
    <w:pPr>
      <w:tabs>
        <w:tab w:val="center" w:pos="4536"/>
        <w:tab w:val="right" w:pos="9072"/>
      </w:tabs>
    </w:pPr>
  </w:style>
  <w:style w:type="character" w:customStyle="1" w:styleId="FooterChar">
    <w:name w:val="Footer Char"/>
    <w:basedOn w:val="DefaultParagraphFont"/>
    <w:link w:val="Footer"/>
    <w:uiPriority w:val="99"/>
    <w:rsid w:val="00CC168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rhrforall.org/download/prescribing-chaos-in-globalhealth-the-global-gag-rule-from-1984-2018/?wpdmdl=1064&amp;refresh=60708c7d06aa41617988733" TargetMode="External"/><Relationship Id="rId2" Type="http://schemas.openxmlformats.org/officeDocument/2006/relationships/hyperlink" Target="https://fas.org/sgp/crs/row/R44858.pdf" TargetMode="External"/><Relationship Id="rId1" Type="http://schemas.openxmlformats.org/officeDocument/2006/relationships/hyperlink" Target="https://www.thelancet.com/journals/langlo/article/PI-%20IS2214-109X(19)30267-0/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C78A-78DF-463F-A65E-5FDE9FB5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Varghese</dc:creator>
  <cp:lastModifiedBy>Susan Varghese</cp:lastModifiedBy>
  <cp:revision>2</cp:revision>
  <dcterms:created xsi:type="dcterms:W3CDTF">2021-06-24T19:59:00Z</dcterms:created>
  <dcterms:modified xsi:type="dcterms:W3CDTF">2021-06-24T19:59:00Z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Adobe InDesign 15.0 (Macintosh)</vt:lpwstr>
  </property>
  <property fmtid="{D5CDD505-2E9C-101B-9397-08002B2CF9AE}" pid="4" name="LastSaved">
    <vt:filetime>2021-06-23T00:00:00Z</vt:filetime>
  </property>
</Properties>
</file>